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B93" w:rsidRPr="00596107" w:rsidRDefault="003D1B93">
      <w:pPr>
        <w:pStyle w:val="Default"/>
        <w:rPr>
          <w:rFonts w:ascii="Cambria" w:hAnsi="Cambria" w:cs="Cambria"/>
        </w:rPr>
      </w:pPr>
    </w:p>
    <w:p w:rsidR="003D1B93" w:rsidRPr="00596107" w:rsidRDefault="003D1B93" w:rsidP="001E478F">
      <w:pPr>
        <w:pStyle w:val="Heading2"/>
        <w:ind w:left="7080"/>
        <w:rPr>
          <w:sz w:val="24"/>
          <w:szCs w:val="24"/>
        </w:rPr>
      </w:pPr>
      <w:r w:rsidRPr="00596107">
        <w:rPr>
          <w:sz w:val="24"/>
          <w:szCs w:val="24"/>
        </w:rPr>
        <w:t>Załącznik II.1</w:t>
      </w:r>
    </w:p>
    <w:p w:rsidR="003D1B93" w:rsidRPr="00596107" w:rsidRDefault="003D1B93">
      <w:pPr>
        <w:pStyle w:val="Heading2"/>
        <w:rPr>
          <w:color w:val="FF0000"/>
          <w:sz w:val="24"/>
          <w:szCs w:val="24"/>
        </w:rPr>
      </w:pPr>
      <w:r w:rsidRPr="00596107">
        <w:rPr>
          <w:sz w:val="24"/>
          <w:szCs w:val="24"/>
        </w:rPr>
        <w:t>1.3. Karta modułu/przedmiotu</w:t>
      </w:r>
      <w:r w:rsidRPr="00596107">
        <w:rPr>
          <w:sz w:val="24"/>
          <w:szCs w:val="24"/>
        </w:rPr>
        <w:tab/>
      </w:r>
      <w:r w:rsidRPr="00596107">
        <w:rPr>
          <w:sz w:val="24"/>
          <w:szCs w:val="24"/>
        </w:rPr>
        <w:tab/>
      </w:r>
      <w:r w:rsidRPr="00596107">
        <w:rPr>
          <w:sz w:val="24"/>
          <w:szCs w:val="24"/>
        </w:rPr>
        <w:tab/>
      </w:r>
      <w:r w:rsidRPr="00596107">
        <w:rPr>
          <w:sz w:val="24"/>
          <w:szCs w:val="24"/>
        </w:rPr>
        <w:tab/>
      </w:r>
      <w:r w:rsidRPr="00596107">
        <w:rPr>
          <w:sz w:val="24"/>
          <w:szCs w:val="24"/>
        </w:rPr>
        <w:tab/>
      </w:r>
      <w:r w:rsidRPr="00596107">
        <w:rPr>
          <w:sz w:val="24"/>
          <w:szCs w:val="24"/>
        </w:rPr>
        <w:tab/>
      </w:r>
      <w:r w:rsidRPr="00596107">
        <w:rPr>
          <w:sz w:val="24"/>
          <w:szCs w:val="24"/>
        </w:rPr>
        <w:tab/>
      </w:r>
    </w:p>
    <w:p w:rsidR="003D1B93" w:rsidRPr="00596107" w:rsidRDefault="003D1B93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760"/>
        <w:gridCol w:w="186"/>
        <w:gridCol w:w="554"/>
        <w:gridCol w:w="580"/>
        <w:gridCol w:w="223"/>
        <w:gridCol w:w="453"/>
        <w:gridCol w:w="905"/>
        <w:gridCol w:w="154"/>
        <w:gridCol w:w="1385"/>
        <w:gridCol w:w="729"/>
        <w:gridCol w:w="454"/>
        <w:gridCol w:w="917"/>
        <w:gridCol w:w="400"/>
        <w:gridCol w:w="147"/>
        <w:gridCol w:w="1253"/>
      </w:tblGrid>
      <w:tr w:rsidR="003D1B93" w:rsidRPr="0059610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3D1B93" w:rsidRPr="00596107" w:rsidRDefault="003D1B93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  <w:tcBorders>
              <w:top w:val="single" w:sz="12" w:space="0" w:color="auto"/>
            </w:tcBorders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3D1B93" w:rsidRPr="00596107" w:rsidRDefault="003D1B93" w:rsidP="009E0DB6">
            <w:pPr>
              <w:pStyle w:val="ListParagraph"/>
              <w:spacing w:after="200" w:line="276" w:lineRule="auto"/>
              <w:ind w:left="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Teoria kina popularnego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3D1B93" w:rsidRPr="0059610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D1B93" w:rsidRPr="00596107" w:rsidRDefault="003D1B93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3D1B93" w:rsidRPr="00596107" w:rsidRDefault="003D1B9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3D1B93" w:rsidRPr="00596107" w:rsidRDefault="003D1B9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Teoria kina popularnego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3D1B93" w:rsidRPr="00596107">
        <w:trPr>
          <w:cantSplit/>
        </w:trPr>
        <w:tc>
          <w:tcPr>
            <w:tcW w:w="497" w:type="dxa"/>
            <w:vMerge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3D1B93" w:rsidRPr="00596107" w:rsidRDefault="003D1B9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3D1B93" w:rsidRPr="00596107">
        <w:trPr>
          <w:cantSplit/>
        </w:trPr>
        <w:tc>
          <w:tcPr>
            <w:tcW w:w="497" w:type="dxa"/>
            <w:vMerge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D1B93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</w:p>
          <w:p w:rsidR="003D1B93" w:rsidRPr="0064698A" w:rsidRDefault="003D1B93" w:rsidP="0064698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3D1B93" w:rsidRPr="00596107">
        <w:trPr>
          <w:cantSplit/>
        </w:trPr>
        <w:tc>
          <w:tcPr>
            <w:tcW w:w="497" w:type="dxa"/>
            <w:vMerge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3D1B93" w:rsidRPr="00596107" w:rsidRDefault="003D1B9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3D1B93" w:rsidRPr="00596107" w:rsidRDefault="003D1B9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5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3D1B93" w:rsidRPr="00596107" w:rsidRDefault="003D1B93" w:rsidP="009E0DB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ilologia polska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–</w:t>
            </w: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nauczycielska /</w:t>
            </w:r>
          </w:p>
          <w:p w:rsidR="003D1B93" w:rsidRPr="00596107" w:rsidRDefault="003D1B93" w:rsidP="009E0DB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filologiczna obsługa biznesu</w:t>
            </w:r>
          </w:p>
        </w:tc>
      </w:tr>
      <w:tr w:rsidR="003D1B93" w:rsidRPr="00596107">
        <w:trPr>
          <w:cantSplit/>
        </w:trPr>
        <w:tc>
          <w:tcPr>
            <w:tcW w:w="497" w:type="dxa"/>
            <w:vMerge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3D1B93" w:rsidRPr="00596107" w:rsidRDefault="003D1B9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II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3</w:t>
            </w:r>
          </w:p>
          <w:p w:rsidR="003D1B93" w:rsidRPr="00596107" w:rsidRDefault="003D1B9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3D1B93" w:rsidRPr="00596107" w:rsidRDefault="003D1B9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(profil dowolny)</w:t>
            </w:r>
          </w:p>
        </w:tc>
        <w:tc>
          <w:tcPr>
            <w:tcW w:w="3171" w:type="dxa"/>
            <w:gridSpan w:val="5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3D1B93" w:rsidRPr="00596107" w:rsidRDefault="003D1B9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3D1B93" w:rsidRPr="00596107">
        <w:trPr>
          <w:cantSplit/>
        </w:trPr>
        <w:tc>
          <w:tcPr>
            <w:tcW w:w="497" w:type="dxa"/>
            <w:vMerge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gridSpan w:val="2"/>
            <w:vAlign w:val="center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gridSpan w:val="3"/>
            <w:vAlign w:val="center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596107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3D1B93" w:rsidRPr="00596107">
        <w:trPr>
          <w:cantSplit/>
        </w:trPr>
        <w:tc>
          <w:tcPr>
            <w:tcW w:w="497" w:type="dxa"/>
            <w:vMerge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vAlign w:val="center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vAlign w:val="center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vAlign w:val="center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3D1B93" w:rsidRPr="00596107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3D1B93" w:rsidRPr="00596107">
        <w:tc>
          <w:tcPr>
            <w:tcW w:w="2988" w:type="dxa"/>
            <w:gridSpan w:val="6"/>
            <w:vAlign w:val="center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3D1B93" w:rsidRPr="00596107">
        <w:tc>
          <w:tcPr>
            <w:tcW w:w="2988" w:type="dxa"/>
            <w:gridSpan w:val="6"/>
            <w:vAlign w:val="center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3D1B93" w:rsidRPr="00565150" w:rsidRDefault="003D1B93">
            <w:pPr>
              <w:rPr>
                <w:rFonts w:ascii="Cambria" w:hAnsi="Cambria" w:cs="Cambria"/>
                <w:sz w:val="22"/>
                <w:szCs w:val="22"/>
              </w:rPr>
            </w:pPr>
            <w:r w:rsidRPr="00565150">
              <w:rPr>
                <w:rFonts w:ascii="Cambria" w:hAnsi="Cambria" w:cs="Cambria"/>
                <w:sz w:val="22"/>
                <w:szCs w:val="22"/>
              </w:rPr>
              <w:t>Zapoznanie studentów ze specyficznymi cechami kultury popularnej i metodami jej badania na przykładzie kina. Kształcenie umiejętności rozpoznawania i analizy różnych funkcji komunikatów kulturowych i mechanizmów regulujących ich tworzenie i dystrybucję. Uwrażliwienie na fakt istnienia różnych oczekiwań względem tekstów kultury i kształcenie metod analizowania strategii odbiorczych. Przedstawienie ideologicznych i kompensacyjnych funkcji przekazów kulturowych .</w:t>
            </w:r>
          </w:p>
        </w:tc>
      </w:tr>
      <w:tr w:rsidR="003D1B93" w:rsidRPr="00596107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Brak</w:t>
            </w:r>
          </w:p>
        </w:tc>
      </w:tr>
      <w:tr w:rsidR="003D1B93" w:rsidRPr="00596107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3D1B93" w:rsidRDefault="003D1B9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3D1B93" w:rsidRPr="00596107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3D1B93" w:rsidRPr="00596107">
        <w:trPr>
          <w:cantSplit/>
        </w:trPr>
        <w:tc>
          <w:tcPr>
            <w:tcW w:w="908" w:type="dxa"/>
            <w:gridSpan w:val="2"/>
            <w:vAlign w:val="center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3D1B93" w:rsidRPr="00565150" w:rsidRDefault="003D1B93" w:rsidP="0092428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565150">
              <w:rPr>
                <w:rFonts w:ascii="Cambria" w:hAnsi="Cambria" w:cs="Cambria"/>
                <w:sz w:val="22"/>
                <w:szCs w:val="22"/>
              </w:rPr>
              <w:t>Student rozróżnia i posługuje się podstawową wiedzą na temat metod analizy zjawisk z obszaru kultury popularnej i rozwija umiejętność ich praktycznego stosowania.</w:t>
            </w:r>
          </w:p>
        </w:tc>
        <w:tc>
          <w:tcPr>
            <w:tcW w:w="1400" w:type="dxa"/>
            <w:gridSpan w:val="2"/>
            <w:vAlign w:val="center"/>
          </w:tcPr>
          <w:p w:rsidR="003D1B93" w:rsidRPr="00596107" w:rsidRDefault="003D1B93" w:rsidP="00E43EB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K_W0</w:t>
            </w:r>
            <w:r>
              <w:rPr>
                <w:rFonts w:ascii="Cambria" w:hAnsi="Cambria" w:cs="Cambria"/>
                <w:sz w:val="24"/>
                <w:szCs w:val="24"/>
              </w:rPr>
              <w:t>7</w:t>
            </w:r>
          </w:p>
        </w:tc>
      </w:tr>
      <w:tr w:rsidR="003D1B93" w:rsidRPr="00596107">
        <w:trPr>
          <w:cantSplit/>
        </w:trPr>
        <w:tc>
          <w:tcPr>
            <w:tcW w:w="908" w:type="dxa"/>
            <w:gridSpan w:val="2"/>
            <w:vAlign w:val="center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3D1B93" w:rsidRPr="00565150" w:rsidRDefault="003D1B93" w:rsidP="0057176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565150">
              <w:rPr>
                <w:rFonts w:ascii="Cambria" w:hAnsi="Cambria" w:cs="Cambria"/>
                <w:sz w:val="22"/>
                <w:szCs w:val="22"/>
              </w:rPr>
              <w:t>Student identyfikuje wiedzę na temat charakterystycznych cech kina popularnego i kształci umiejętność wykorzystania do jej analizy narzędzi służących do badania dzieła literackiego i kultury literackiej.</w:t>
            </w:r>
          </w:p>
        </w:tc>
        <w:tc>
          <w:tcPr>
            <w:tcW w:w="1400" w:type="dxa"/>
            <w:gridSpan w:val="2"/>
            <w:vAlign w:val="center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K_U11</w:t>
            </w:r>
          </w:p>
        </w:tc>
      </w:tr>
      <w:tr w:rsidR="003D1B93" w:rsidRPr="00596107">
        <w:trPr>
          <w:cantSplit/>
        </w:trPr>
        <w:tc>
          <w:tcPr>
            <w:tcW w:w="908" w:type="dxa"/>
            <w:gridSpan w:val="2"/>
            <w:vAlign w:val="center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3D1B93" w:rsidRPr="00565150" w:rsidRDefault="003D1B93" w:rsidP="0057176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565150">
              <w:rPr>
                <w:rFonts w:ascii="Cambria" w:hAnsi="Cambria" w:cs="Cambria"/>
                <w:sz w:val="22"/>
                <w:szCs w:val="22"/>
              </w:rPr>
              <w:t xml:space="preserve">Student identyfikuje podstawowe pojęcia z dziedziny analizy kultury masowej i wiedzy o filmie. Kształci umiejętność posługiwania się nimi. </w:t>
            </w:r>
          </w:p>
        </w:tc>
        <w:tc>
          <w:tcPr>
            <w:tcW w:w="1400" w:type="dxa"/>
            <w:gridSpan w:val="2"/>
            <w:vAlign w:val="center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K_U05</w:t>
            </w:r>
          </w:p>
        </w:tc>
      </w:tr>
      <w:tr w:rsidR="003D1B93" w:rsidRPr="00596107">
        <w:trPr>
          <w:cantSplit/>
        </w:trPr>
        <w:tc>
          <w:tcPr>
            <w:tcW w:w="908" w:type="dxa"/>
            <w:gridSpan w:val="2"/>
            <w:vAlign w:val="center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3D1B93" w:rsidRPr="00475627" w:rsidRDefault="003D1B93" w:rsidP="00E43EB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Pr="004D3E10">
              <w:rPr>
                <w:rFonts w:ascii="Cambria" w:hAnsi="Cambria" w:cs="Cambria"/>
                <w:sz w:val="24"/>
                <w:szCs w:val="24"/>
              </w:rPr>
              <w:t xml:space="preserve">analizuje, ocenia i selekcjonuje informacje </w:t>
            </w:r>
            <w:r>
              <w:rPr>
                <w:rFonts w:ascii="Cambria" w:hAnsi="Cambria" w:cs="Cambria"/>
                <w:sz w:val="24"/>
                <w:szCs w:val="24"/>
              </w:rPr>
              <w:t>związane z kinem popularnym.</w:t>
            </w:r>
            <w:r w:rsidRPr="004D3E10"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  <w:gridSpan w:val="2"/>
            <w:vAlign w:val="center"/>
          </w:tcPr>
          <w:p w:rsidR="003D1B93" w:rsidRPr="00475627" w:rsidRDefault="003D1B93" w:rsidP="0047562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475627"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3D1B93" w:rsidRPr="00596107">
        <w:trPr>
          <w:cantSplit/>
        </w:trPr>
        <w:tc>
          <w:tcPr>
            <w:tcW w:w="908" w:type="dxa"/>
            <w:gridSpan w:val="2"/>
            <w:vAlign w:val="center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3D1B93" w:rsidRPr="00475627" w:rsidRDefault="003D1B93" w:rsidP="00E43EB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krytycznie weryfik</w:t>
            </w:r>
            <w:r>
              <w:rPr>
                <w:rFonts w:ascii="Cambria" w:hAnsi="Cambria" w:cs="Cambria"/>
                <w:sz w:val="24"/>
                <w:szCs w:val="24"/>
              </w:rPr>
              <w:t>uje</w:t>
            </w:r>
            <w:r w:rsidRPr="004D3E10">
              <w:rPr>
                <w:rFonts w:ascii="Cambria" w:hAnsi="Cambria" w:cs="Cambria"/>
                <w:sz w:val="24"/>
                <w:szCs w:val="24"/>
              </w:rPr>
              <w:t xml:space="preserve"> i przeformuło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wuje 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swoje stanowiska i sądy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na temat zjawisk z obszaru kultury popularnej i kina popularnego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3D1B93" w:rsidRPr="00475627" w:rsidRDefault="003D1B93" w:rsidP="0047562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475627">
              <w:rPr>
                <w:rFonts w:ascii="Cambria" w:hAnsi="Cambria" w:cs="Cambria"/>
                <w:sz w:val="24"/>
                <w:szCs w:val="24"/>
              </w:rPr>
              <w:t>K_K04</w:t>
            </w:r>
          </w:p>
        </w:tc>
      </w:tr>
      <w:tr w:rsidR="003D1B93" w:rsidRPr="005961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D1B93" w:rsidRDefault="003D1B9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3D1B93" w:rsidRPr="005961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1B93" w:rsidRPr="00596107" w:rsidRDefault="003D1B9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3D1B93" w:rsidRPr="005961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1B93" w:rsidRPr="00596107" w:rsidRDefault="003D1B93" w:rsidP="00E70430">
            <w:pPr>
              <w:suppressAutoHyphens/>
              <w:spacing w:line="276" w:lineRule="auto"/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596107">
              <w:rPr>
                <w:rFonts w:ascii="Cambria" w:hAnsi="Cambria" w:cs="Cambria"/>
                <w:sz w:val="22"/>
                <w:szCs w:val="22"/>
              </w:rPr>
              <w:t>Gatunki filmowe – wprowadzenie i analiza pojęcia, podstawy teoretyczne.</w:t>
            </w:r>
          </w:p>
          <w:p w:rsidR="003D1B93" w:rsidRPr="00596107" w:rsidRDefault="003D1B93" w:rsidP="00E70430">
            <w:pPr>
              <w:suppressAutoHyphens/>
              <w:spacing w:line="276" w:lineRule="auto"/>
              <w:ind w:left="360"/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</w:pPr>
            <w:r w:rsidRPr="00596107"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  <w:t xml:space="preserve">Styl hollywoodzki – cechy stylu zerowego. Pojęcie przemysłu filmowego. Hollywoodzki supergigant. Kult gwiazd dawniej i dziś. </w:t>
            </w:r>
          </w:p>
          <w:p w:rsidR="003D1B93" w:rsidRPr="00596107" w:rsidRDefault="003D1B93" w:rsidP="00E70430">
            <w:pPr>
              <w:suppressAutoHyphens/>
              <w:spacing w:line="276" w:lineRule="auto"/>
              <w:ind w:left="360"/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</w:pPr>
            <w:r w:rsidRPr="00596107"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  <w:t xml:space="preserve">Film  gangsterski  jako  odtworzenie  na  ekranie  zjawiska społecznego. Analiza socjologiczna jako narzędzie filmoznawcze. </w:t>
            </w:r>
          </w:p>
          <w:p w:rsidR="003D1B93" w:rsidRPr="00596107" w:rsidRDefault="003D1B93" w:rsidP="00E70430">
            <w:pPr>
              <w:suppressAutoHyphens/>
              <w:spacing w:line="276" w:lineRule="auto"/>
              <w:ind w:left="360"/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</w:pPr>
            <w:r w:rsidRPr="00596107"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  <w:t xml:space="preserve">Kino fantastyczno-naukowe – od katastrofizmu, poprzez KNP aż po cyberpunk. </w:t>
            </w:r>
          </w:p>
          <w:p w:rsidR="003D1B93" w:rsidRPr="00596107" w:rsidRDefault="003D1B93" w:rsidP="00E70430">
            <w:pPr>
              <w:suppressAutoHyphens/>
              <w:spacing w:line="276" w:lineRule="auto"/>
              <w:ind w:left="360"/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</w:pPr>
            <w:r w:rsidRPr="00596107"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  <w:t xml:space="preserve">Kino grozy – gatunki a emocje . Kognitywizm i psychoanaliza jako narzędzia filmoznawcze. </w:t>
            </w:r>
          </w:p>
          <w:p w:rsidR="003D1B93" w:rsidRPr="00596107" w:rsidRDefault="003D1B93" w:rsidP="00E70430">
            <w:pPr>
              <w:suppressAutoHyphens/>
              <w:spacing w:line="276" w:lineRule="auto"/>
              <w:ind w:left="360"/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</w:pPr>
            <w:r w:rsidRPr="00596107"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  <w:t xml:space="preserve">Kino klasy b. Estetyka kampu. </w:t>
            </w:r>
          </w:p>
          <w:p w:rsidR="003D1B93" w:rsidRPr="00596107" w:rsidRDefault="003D1B93" w:rsidP="00E70430">
            <w:pPr>
              <w:suppressAutoHyphens/>
              <w:spacing w:line="276" w:lineRule="auto"/>
              <w:ind w:left="360"/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</w:pPr>
            <w:r w:rsidRPr="00596107"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  <w:t xml:space="preserve">Kino kultu. Kicz jako narzędzie dekonstrukcji konwencji filmowych. </w:t>
            </w:r>
          </w:p>
          <w:p w:rsidR="003D1B93" w:rsidRPr="00596107" w:rsidRDefault="003D1B93" w:rsidP="00E70430">
            <w:pPr>
              <w:suppressAutoHyphens/>
              <w:spacing w:line="276" w:lineRule="auto"/>
              <w:ind w:left="360"/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  <w:lang w:val="en-US"/>
              </w:rPr>
            </w:pPr>
            <w:r w:rsidRPr="00596107"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  <w:t xml:space="preserve">Kino popularne a przyjemność oglądania. </w:t>
            </w:r>
            <w:r w:rsidRPr="0081196D"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  <w:lang w:val="en-US"/>
              </w:rPr>
              <w:t>Feminizm, gender i t</w:t>
            </w:r>
            <w:r w:rsidRPr="00596107"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  <w:lang w:val="en-US"/>
              </w:rPr>
              <w:t xml:space="preserve">eoria queer. </w:t>
            </w:r>
          </w:p>
          <w:p w:rsidR="003D1B93" w:rsidRPr="00596107" w:rsidRDefault="003D1B93" w:rsidP="00E70430">
            <w:pPr>
              <w:suppressAutoHyphens/>
              <w:spacing w:line="276" w:lineRule="auto"/>
              <w:ind w:left="360"/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</w:pPr>
            <w:r w:rsidRPr="00596107"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  <w:t xml:space="preserve">Problem autorstwa w kinie popularnym. </w:t>
            </w:r>
          </w:p>
          <w:p w:rsidR="003D1B93" w:rsidRPr="00596107" w:rsidRDefault="003D1B93" w:rsidP="00E70430">
            <w:pPr>
              <w:suppressAutoHyphens/>
              <w:spacing w:line="276" w:lineRule="auto"/>
              <w:ind w:left="360"/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</w:pPr>
            <w:r w:rsidRPr="00596107"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  <w:t xml:space="preserve">Kino popularne a sztuki masowe. </w:t>
            </w:r>
          </w:p>
          <w:p w:rsidR="003D1B93" w:rsidRPr="00596107" w:rsidRDefault="003D1B93" w:rsidP="00E70430">
            <w:pPr>
              <w:suppressAutoHyphens/>
              <w:spacing w:line="276" w:lineRule="auto"/>
              <w:ind w:left="360"/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</w:pPr>
            <w:r w:rsidRPr="00596107"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  <w:t xml:space="preserve">Serial filmowy i telewizyjny. </w:t>
            </w:r>
          </w:p>
          <w:p w:rsidR="003D1B93" w:rsidRPr="00596107" w:rsidRDefault="003D1B93" w:rsidP="00E70430">
            <w:pPr>
              <w:suppressAutoHyphens/>
              <w:spacing w:line="276" w:lineRule="auto"/>
              <w:ind w:left="360"/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</w:pPr>
            <w:r w:rsidRPr="00596107"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  <w:t xml:space="preserve">Istota telewizji (transmisja bezpośrednia). </w:t>
            </w:r>
          </w:p>
          <w:p w:rsidR="003D1B93" w:rsidRPr="00596107" w:rsidRDefault="003D1B93" w:rsidP="00E70430">
            <w:pPr>
              <w:suppressAutoHyphens/>
              <w:spacing w:line="276" w:lineRule="auto"/>
              <w:ind w:left="360"/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</w:pPr>
            <w:r w:rsidRPr="00596107"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  <w:t xml:space="preserve">Przemiany widowiska telewizyjnego. </w:t>
            </w:r>
          </w:p>
          <w:p w:rsidR="003D1B93" w:rsidRPr="00596107" w:rsidRDefault="003D1B93" w:rsidP="00E70430">
            <w:pPr>
              <w:spacing w:line="276" w:lineRule="auto"/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Style w:val="Strong"/>
                <w:rFonts w:ascii="Cambria" w:hAnsi="Cambria" w:cs="Cambria"/>
                <w:b w:val="0"/>
                <w:bCs w:val="0"/>
                <w:sz w:val="22"/>
                <w:szCs w:val="22"/>
              </w:rPr>
              <w:t>Teorie wolnego czasu . Film w społeczeństwie konsumpcyjnym.</w:t>
            </w:r>
          </w:p>
        </w:tc>
      </w:tr>
      <w:tr w:rsidR="003D1B93" w:rsidRPr="005961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1B93" w:rsidRPr="00596107" w:rsidRDefault="003D1B9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3D1B93" w:rsidRPr="005961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D1B93" w:rsidRPr="005961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1B93" w:rsidRPr="00596107" w:rsidRDefault="003D1B93">
            <w:pPr>
              <w:pStyle w:val="Heading1"/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>Laboratorium</w:t>
            </w:r>
          </w:p>
        </w:tc>
      </w:tr>
      <w:tr w:rsidR="003D1B93" w:rsidRPr="005961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D1B93" w:rsidRPr="005961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1B93" w:rsidRPr="00596107" w:rsidRDefault="003D1B93">
            <w:pPr>
              <w:pStyle w:val="Heading1"/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>Projekt</w:t>
            </w:r>
          </w:p>
        </w:tc>
      </w:tr>
      <w:tr w:rsidR="003D1B93" w:rsidRPr="005961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D1B93" w:rsidRPr="00596107">
        <w:tc>
          <w:tcPr>
            <w:tcW w:w="1668" w:type="dxa"/>
            <w:gridSpan w:val="3"/>
            <w:tcBorders>
              <w:top w:val="single" w:sz="12" w:space="0" w:color="auto"/>
            </w:tcBorders>
            <w:vAlign w:val="center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8340" w:type="dxa"/>
            <w:gridSpan w:val="14"/>
            <w:tcBorders>
              <w:top w:val="single" w:sz="12" w:space="0" w:color="auto"/>
            </w:tcBorders>
          </w:tcPr>
          <w:p w:rsidR="003D1B93" w:rsidRDefault="003D1B93" w:rsidP="0076767B">
            <w:pPr>
              <w:rPr>
                <w:rFonts w:ascii="Cambria" w:hAnsi="Cambria" w:cs="Cambria"/>
              </w:rPr>
            </w:pPr>
          </w:p>
          <w:p w:rsidR="003D1B93" w:rsidRPr="00596107" w:rsidRDefault="003D1B93" w:rsidP="0076767B">
            <w:pPr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Richard Altman, </w:t>
            </w:r>
            <w:r w:rsidRPr="00596107">
              <w:rPr>
                <w:rFonts w:ascii="Cambria" w:hAnsi="Cambria" w:cs="Cambria"/>
                <w:i/>
                <w:iCs/>
              </w:rPr>
              <w:t>W stronę teorii gatunku filmowego</w:t>
            </w:r>
            <w:r w:rsidRPr="00596107">
              <w:rPr>
                <w:rFonts w:ascii="Cambria" w:hAnsi="Cambria" w:cs="Cambria"/>
              </w:rPr>
              <w:t xml:space="preserve"> [w:] „Kino” 1987, nr 6</w:t>
            </w:r>
          </w:p>
          <w:p w:rsidR="003D1B93" w:rsidRPr="00596107" w:rsidRDefault="003D1B93" w:rsidP="0076767B">
            <w:pPr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Tadeusz Miczka, </w:t>
            </w:r>
            <w:r w:rsidRPr="00596107">
              <w:rPr>
                <w:rFonts w:ascii="Cambria" w:hAnsi="Cambria" w:cs="Cambria"/>
                <w:i/>
                <w:iCs/>
              </w:rPr>
              <w:t>Gatunek</w:t>
            </w:r>
            <w:r w:rsidRPr="00596107">
              <w:rPr>
                <w:rFonts w:ascii="Cambria" w:hAnsi="Cambria" w:cs="Cambria"/>
              </w:rPr>
              <w:t xml:space="preserve">, w: </w:t>
            </w:r>
            <w:r w:rsidRPr="00596107">
              <w:rPr>
                <w:rFonts w:ascii="Cambria" w:hAnsi="Cambria" w:cs="Cambria"/>
                <w:i/>
                <w:iCs/>
              </w:rPr>
              <w:t>Słownik pojęć filmowych</w:t>
            </w:r>
            <w:r w:rsidRPr="00596107">
              <w:rPr>
                <w:rFonts w:ascii="Cambria" w:hAnsi="Cambria" w:cs="Cambria"/>
              </w:rPr>
              <w:t>, red. A. Helman, t. X, Wydawnictwo UJ, 1998.</w:t>
            </w:r>
          </w:p>
          <w:p w:rsidR="003D1B93" w:rsidRPr="00596107" w:rsidRDefault="003D1B93" w:rsidP="0076767B">
            <w:pPr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Mirosław Przylipiak, </w:t>
            </w:r>
            <w:r w:rsidRPr="00596107">
              <w:rPr>
                <w:rFonts w:ascii="Cambria" w:hAnsi="Cambria" w:cs="Cambria"/>
                <w:i/>
                <w:iCs/>
              </w:rPr>
              <w:t>O gatunkach filmowych</w:t>
            </w:r>
            <w:r w:rsidRPr="00596107">
              <w:rPr>
                <w:rFonts w:ascii="Cambria" w:hAnsi="Cambria" w:cs="Cambria"/>
              </w:rPr>
              <w:t xml:space="preserve">, w: </w:t>
            </w:r>
            <w:r w:rsidRPr="00596107">
              <w:rPr>
                <w:rFonts w:ascii="Cambria" w:hAnsi="Cambria" w:cs="Cambria"/>
                <w:i/>
                <w:iCs/>
              </w:rPr>
              <w:t>Od fantastyki do komiksu</w:t>
            </w:r>
            <w:r w:rsidRPr="00596107">
              <w:rPr>
                <w:rFonts w:ascii="Cambria" w:hAnsi="Cambria" w:cs="Cambria"/>
              </w:rPr>
              <w:t>, red. K. Sobotka, Łódzki Dom Kultury, 1993.</w:t>
            </w:r>
          </w:p>
          <w:p w:rsidR="003D1B93" w:rsidRPr="00596107" w:rsidRDefault="003D1B93" w:rsidP="0076767B">
            <w:pPr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Mirosław Przylipiak, </w:t>
            </w:r>
            <w:r w:rsidRPr="00596107">
              <w:rPr>
                <w:rFonts w:ascii="Cambria" w:hAnsi="Cambria" w:cs="Cambria"/>
                <w:i/>
                <w:iCs/>
              </w:rPr>
              <w:t>Kino stylu zerowego</w:t>
            </w:r>
            <w:r w:rsidRPr="00596107">
              <w:rPr>
                <w:rFonts w:ascii="Cambria" w:hAnsi="Cambria" w:cs="Cambria"/>
              </w:rPr>
              <w:t>, Gdańsk, 1992.</w:t>
            </w:r>
          </w:p>
          <w:p w:rsidR="003D1B93" w:rsidRPr="00596107" w:rsidRDefault="003D1B93" w:rsidP="0076767B">
            <w:pPr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Rick Altman, </w:t>
            </w:r>
            <w:r w:rsidRPr="00596107">
              <w:rPr>
                <w:rFonts w:ascii="Cambria" w:hAnsi="Cambria" w:cs="Cambria"/>
                <w:i/>
                <w:iCs/>
              </w:rPr>
              <w:t>Podejście semantyczno-syntaktyczne do gatunku filmowego</w:t>
            </w:r>
            <w:r w:rsidRPr="00596107">
              <w:rPr>
                <w:rFonts w:ascii="Cambria" w:hAnsi="Cambria" w:cs="Cambria"/>
              </w:rPr>
              <w:t xml:space="preserve">, w: </w:t>
            </w:r>
            <w:r w:rsidRPr="00596107">
              <w:rPr>
                <w:rFonts w:ascii="Cambria" w:hAnsi="Cambria" w:cs="Cambria"/>
                <w:i/>
                <w:iCs/>
              </w:rPr>
              <w:t>Panorama współczesnej myśli filmowej</w:t>
            </w:r>
            <w:r w:rsidRPr="00596107">
              <w:rPr>
                <w:rFonts w:ascii="Cambria" w:hAnsi="Cambria" w:cs="Cambria"/>
              </w:rPr>
              <w:t xml:space="preserve">, red. A. Helman, Universitas, 1992. </w:t>
            </w:r>
          </w:p>
          <w:p w:rsidR="003D1B93" w:rsidRPr="00596107" w:rsidRDefault="003D1B93" w:rsidP="0076767B">
            <w:pPr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Roland Barthes, </w:t>
            </w:r>
            <w:r w:rsidRPr="00596107">
              <w:rPr>
                <w:rFonts w:ascii="Cambria" w:hAnsi="Cambria" w:cs="Cambria"/>
                <w:i/>
                <w:iCs/>
              </w:rPr>
              <w:t>Przyjemność tekstu</w:t>
            </w:r>
            <w:r w:rsidRPr="00596107">
              <w:rPr>
                <w:rFonts w:ascii="Cambria" w:hAnsi="Cambria" w:cs="Cambria"/>
              </w:rPr>
              <w:t>, Warszawa 1997.</w:t>
            </w:r>
          </w:p>
          <w:p w:rsidR="003D1B93" w:rsidRPr="00596107" w:rsidRDefault="003D1B93" w:rsidP="0076767B">
            <w:pPr>
              <w:rPr>
                <w:rFonts w:ascii="Cambria" w:hAnsi="Cambria" w:cs="Cambria"/>
              </w:rPr>
            </w:pPr>
            <w:r w:rsidRPr="00596107">
              <w:rPr>
                <w:rStyle w:val="highlight1"/>
                <w:rFonts w:ascii="Cambria" w:hAnsi="Cambria" w:cs="Cambria"/>
                <w:i/>
                <w:iCs/>
              </w:rPr>
              <w:t>Wstydliwe przyjemności</w:t>
            </w:r>
            <w:r w:rsidRPr="00596107">
              <w:rPr>
                <w:rFonts w:ascii="Cambria" w:hAnsi="Cambria" w:cs="Cambria"/>
                <w:i/>
                <w:iCs/>
              </w:rPr>
              <w:t xml:space="preserve"> czyli po co - tak naprawdę - chodzimy do kina?</w:t>
            </w:r>
            <w:r w:rsidRPr="00596107">
              <w:rPr>
                <w:rFonts w:ascii="Cambria" w:hAnsi="Cambria" w:cs="Cambria"/>
              </w:rPr>
              <w:t>, red. Grażyna Stachówna, Kraków 1995.</w:t>
            </w:r>
          </w:p>
          <w:p w:rsidR="003D1B93" w:rsidRPr="00596107" w:rsidRDefault="003D1B93" w:rsidP="0076767B">
            <w:pPr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  <w:i/>
                <w:iCs/>
              </w:rPr>
              <w:t>Kino gatunków. Wczoraj i dziś</w:t>
            </w:r>
            <w:r w:rsidRPr="00596107">
              <w:rPr>
                <w:rFonts w:ascii="Cambria" w:hAnsi="Cambria" w:cs="Cambria"/>
              </w:rPr>
              <w:t>, red. K. Loska, Kraków 1998</w:t>
            </w:r>
          </w:p>
          <w:p w:rsidR="003D1B93" w:rsidRPr="00596107" w:rsidRDefault="003D1B93" w:rsidP="0076767B">
            <w:pPr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Alicja Helman, </w:t>
            </w:r>
            <w:r w:rsidRPr="00596107">
              <w:rPr>
                <w:rFonts w:ascii="Cambria" w:hAnsi="Cambria" w:cs="Cambria"/>
                <w:i/>
                <w:iCs/>
              </w:rPr>
              <w:t>Autor filmowy i film autorski</w:t>
            </w:r>
            <w:r w:rsidRPr="00596107">
              <w:rPr>
                <w:rFonts w:ascii="Cambria" w:hAnsi="Cambria" w:cs="Cambria"/>
              </w:rPr>
              <w:t>, „Kino” 1977, nr 9.</w:t>
            </w:r>
          </w:p>
          <w:p w:rsidR="003D1B93" w:rsidRPr="00596107" w:rsidRDefault="003D1B93" w:rsidP="0076767B">
            <w:pPr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R.Barthes, </w:t>
            </w:r>
            <w:r w:rsidRPr="00596107">
              <w:rPr>
                <w:rFonts w:ascii="Cambria" w:hAnsi="Cambria" w:cs="Cambria"/>
                <w:i/>
                <w:iCs/>
              </w:rPr>
              <w:t>Śmierć autora</w:t>
            </w:r>
            <w:r w:rsidRPr="00596107">
              <w:rPr>
                <w:rFonts w:ascii="Cambria" w:hAnsi="Cambria" w:cs="Cambria"/>
              </w:rPr>
              <w:t>, „Teksty Drugie” 1999/1-2, s. 247-251</w:t>
            </w:r>
            <w:r w:rsidRPr="00596107">
              <w:rPr>
                <w:rFonts w:ascii="Cambria" w:hAnsi="Cambria" w:cs="Cambria"/>
              </w:rPr>
              <w:br/>
              <w:t xml:space="preserve">Marek Hendrykowski, </w:t>
            </w:r>
            <w:r w:rsidRPr="00596107">
              <w:rPr>
                <w:rFonts w:ascii="Cambria" w:hAnsi="Cambria" w:cs="Cambria"/>
                <w:i/>
                <w:iCs/>
              </w:rPr>
              <w:t>Autor</w:t>
            </w:r>
            <w:r w:rsidRPr="00596107">
              <w:rPr>
                <w:rFonts w:ascii="Cambria" w:hAnsi="Cambria" w:cs="Cambria"/>
              </w:rPr>
              <w:t xml:space="preserve">, w: </w:t>
            </w:r>
            <w:r w:rsidRPr="00596107">
              <w:rPr>
                <w:rFonts w:ascii="Cambria" w:hAnsi="Cambria" w:cs="Cambria"/>
                <w:i/>
                <w:iCs/>
              </w:rPr>
              <w:t>Słownik pojęć filmowych</w:t>
            </w:r>
            <w:r w:rsidRPr="00596107">
              <w:rPr>
                <w:rFonts w:ascii="Cambria" w:hAnsi="Cambria" w:cs="Cambria"/>
              </w:rPr>
              <w:t>, red. A. Helman, t. III, Wiedza o Kulturze, 1992.</w:t>
            </w:r>
          </w:p>
          <w:p w:rsidR="003D1B93" w:rsidRPr="00596107" w:rsidRDefault="003D1B93" w:rsidP="0076767B">
            <w:pPr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  <w:i/>
                <w:iCs/>
              </w:rPr>
              <w:t>Film: Fabryka emocji</w:t>
            </w:r>
            <w:r w:rsidRPr="00596107">
              <w:rPr>
                <w:rFonts w:ascii="Cambria" w:hAnsi="Cambria" w:cs="Cambria"/>
              </w:rPr>
              <w:t>, red. K. Klejsa, Kraków 2003</w:t>
            </w:r>
          </w:p>
          <w:p w:rsidR="003D1B93" w:rsidRPr="00596107" w:rsidRDefault="003D1B93" w:rsidP="0076767B">
            <w:pPr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  <w:i/>
                <w:iCs/>
              </w:rPr>
              <w:t>Kognitywna teoria filmu</w:t>
            </w:r>
            <w:r w:rsidRPr="00596107">
              <w:rPr>
                <w:rFonts w:ascii="Cambria" w:hAnsi="Cambria" w:cs="Cambria"/>
              </w:rPr>
              <w:t>, red. J. Ostaszewski, Antologia, Kraków 1999</w:t>
            </w:r>
          </w:p>
          <w:p w:rsidR="003D1B93" w:rsidRPr="00596107" w:rsidRDefault="003D1B93" w:rsidP="0076767B">
            <w:pPr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Noël Carroll, </w:t>
            </w:r>
            <w:r w:rsidRPr="00596107">
              <w:rPr>
                <w:rFonts w:ascii="Cambria" w:hAnsi="Cambria" w:cs="Cambria"/>
                <w:i/>
                <w:iCs/>
              </w:rPr>
              <w:t>Filozofia horroru</w:t>
            </w:r>
            <w:r w:rsidRPr="00596107">
              <w:rPr>
                <w:rFonts w:ascii="Cambria" w:hAnsi="Cambria" w:cs="Cambria"/>
              </w:rPr>
              <w:t>, Gdańsk 2004, str. 31 – 66, 107 – 163.</w:t>
            </w:r>
            <w:r w:rsidRPr="00596107">
              <w:rPr>
                <w:rFonts w:ascii="Cambria" w:hAnsi="Cambria" w:cs="Cambria"/>
              </w:rPr>
              <w:br/>
              <w:t xml:space="preserve">Andrzej Zalewski, </w:t>
            </w:r>
            <w:r w:rsidRPr="00596107">
              <w:rPr>
                <w:rFonts w:ascii="Cambria" w:hAnsi="Cambria" w:cs="Cambria"/>
                <w:i/>
                <w:iCs/>
              </w:rPr>
              <w:t>Emocje</w:t>
            </w:r>
            <w:r w:rsidRPr="00596107">
              <w:rPr>
                <w:rFonts w:ascii="Cambria" w:hAnsi="Cambria" w:cs="Cambria"/>
              </w:rPr>
              <w:t xml:space="preserve"> [w:], </w:t>
            </w:r>
            <w:r w:rsidRPr="00596107">
              <w:rPr>
                <w:rFonts w:ascii="Cambria" w:hAnsi="Cambria" w:cs="Cambria"/>
                <w:i/>
                <w:iCs/>
              </w:rPr>
              <w:t>Film i nie tylko</w:t>
            </w:r>
            <w:r w:rsidRPr="00596107">
              <w:rPr>
                <w:rFonts w:ascii="Cambria" w:hAnsi="Cambria" w:cs="Cambria"/>
              </w:rPr>
              <w:t>, Kraków 2003.</w:t>
            </w:r>
          </w:p>
          <w:p w:rsidR="003D1B93" w:rsidRPr="00596107" w:rsidRDefault="003D1B93" w:rsidP="0076767B">
            <w:pPr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Alicja Helman, </w:t>
            </w:r>
            <w:r w:rsidRPr="00596107">
              <w:rPr>
                <w:rFonts w:ascii="Cambria" w:hAnsi="Cambria" w:cs="Cambria"/>
                <w:i/>
                <w:iCs/>
              </w:rPr>
              <w:t>Dziesięć tez na temat filmowej adaptacji literatury</w:t>
            </w:r>
            <w:r w:rsidRPr="00596107">
              <w:rPr>
                <w:rFonts w:ascii="Cambria" w:hAnsi="Cambria" w:cs="Cambria"/>
              </w:rPr>
              <w:t xml:space="preserve"> [w:] </w:t>
            </w:r>
            <w:r w:rsidRPr="00596107">
              <w:rPr>
                <w:rFonts w:ascii="Cambria" w:hAnsi="Cambria" w:cs="Cambria"/>
                <w:i/>
                <w:iCs/>
              </w:rPr>
              <w:t>Wokół problemów adaptacji filmowej</w:t>
            </w:r>
            <w:r w:rsidRPr="00596107">
              <w:rPr>
                <w:rFonts w:ascii="Cambria" w:hAnsi="Cambria" w:cs="Cambria"/>
              </w:rPr>
              <w:t>, red. E. Nurczyńska-Fidelska i Z. Batko, Łódź 1997.</w:t>
            </w:r>
            <w:r w:rsidRPr="00596107">
              <w:rPr>
                <w:rFonts w:ascii="Cambria" w:hAnsi="Cambria" w:cs="Cambria"/>
              </w:rPr>
              <w:br/>
              <w:t xml:space="preserve">Alicja Helman, </w:t>
            </w:r>
            <w:r w:rsidRPr="00596107">
              <w:rPr>
                <w:rFonts w:ascii="Cambria" w:hAnsi="Cambria" w:cs="Cambria"/>
                <w:i/>
                <w:iCs/>
              </w:rPr>
              <w:t>Modele adaptacji filmowej</w:t>
            </w:r>
            <w:r w:rsidRPr="00596107">
              <w:rPr>
                <w:rFonts w:ascii="Cambria" w:hAnsi="Cambria" w:cs="Cambria"/>
              </w:rPr>
              <w:t xml:space="preserve">, „Kino” 1979, nr 6. </w:t>
            </w:r>
          </w:p>
          <w:p w:rsidR="003D1B93" w:rsidRPr="00596107" w:rsidRDefault="003D1B93" w:rsidP="0076767B">
            <w:pPr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Alicja Helman, </w:t>
            </w:r>
            <w:r w:rsidRPr="00596107">
              <w:rPr>
                <w:rFonts w:ascii="Cambria" w:hAnsi="Cambria" w:cs="Cambria"/>
                <w:i/>
                <w:iCs/>
              </w:rPr>
              <w:t>Adaptacje filmowe dzieł literackich jako świadectwa lektury tekstu</w:t>
            </w:r>
            <w:r w:rsidRPr="00596107">
              <w:rPr>
                <w:rFonts w:ascii="Cambria" w:hAnsi="Cambria" w:cs="Cambria"/>
              </w:rPr>
              <w:t>, „Kino” 1985, nr 4.</w:t>
            </w:r>
            <w:r w:rsidRPr="00596107">
              <w:rPr>
                <w:rFonts w:ascii="Cambria" w:hAnsi="Cambria" w:cs="Cambria"/>
              </w:rPr>
              <w:br/>
              <w:t xml:space="preserve">Jerzy Szyłak, </w:t>
            </w:r>
            <w:r w:rsidRPr="00596107">
              <w:rPr>
                <w:rFonts w:ascii="Cambria" w:hAnsi="Cambria" w:cs="Cambria"/>
                <w:i/>
                <w:iCs/>
              </w:rPr>
              <w:t>Komiks i okolice kina</w:t>
            </w:r>
            <w:r w:rsidRPr="00596107">
              <w:rPr>
                <w:rFonts w:ascii="Cambria" w:hAnsi="Cambria" w:cs="Cambria"/>
              </w:rPr>
              <w:t>, Gdańsk 2000.</w:t>
            </w:r>
          </w:p>
          <w:p w:rsidR="003D1B93" w:rsidRPr="00596107" w:rsidRDefault="003D1B93" w:rsidP="0076767B">
            <w:pPr>
              <w:pStyle w:val="Zwykytekst1"/>
              <w:jc w:val="both"/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Andrzej Pitrus, </w:t>
            </w:r>
            <w:r w:rsidRPr="00596107">
              <w:rPr>
                <w:rFonts w:ascii="Cambria" w:hAnsi="Cambria" w:cs="Cambria"/>
                <w:i/>
                <w:iCs/>
              </w:rPr>
              <w:t>Kino kultu</w:t>
            </w:r>
            <w:r w:rsidRPr="00596107">
              <w:rPr>
                <w:rFonts w:ascii="Cambria" w:hAnsi="Cambria" w:cs="Cambria"/>
              </w:rPr>
              <w:t>, Kraków 1998, s. 9-39.</w:t>
            </w:r>
          </w:p>
          <w:p w:rsidR="003D1B93" w:rsidRPr="00596107" w:rsidRDefault="003D1B93" w:rsidP="0076767B">
            <w:pPr>
              <w:pStyle w:val="Zwykytekst1"/>
              <w:jc w:val="both"/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Susan Sontag, </w:t>
            </w:r>
            <w:r w:rsidRPr="00596107">
              <w:rPr>
                <w:rFonts w:ascii="Cambria" w:hAnsi="Cambria" w:cs="Cambria"/>
                <w:i/>
                <w:iCs/>
              </w:rPr>
              <w:t>Notatki o kampie</w:t>
            </w:r>
            <w:r w:rsidRPr="00596107">
              <w:rPr>
                <w:rFonts w:ascii="Cambria" w:hAnsi="Cambria" w:cs="Cambria"/>
              </w:rPr>
              <w:t>, „Literatura na świecie” 1979, nr 9.</w:t>
            </w:r>
          </w:p>
          <w:p w:rsidR="003D1B93" w:rsidRPr="00596107" w:rsidRDefault="003D1B93" w:rsidP="0076767B">
            <w:pPr>
              <w:jc w:val="both"/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Ewa Grzeszczyk, </w:t>
            </w:r>
            <w:r w:rsidRPr="00596107">
              <w:rPr>
                <w:rFonts w:ascii="Cambria" w:hAnsi="Cambria" w:cs="Cambria"/>
                <w:i/>
                <w:iCs/>
              </w:rPr>
              <w:t>Camp</w:t>
            </w:r>
            <w:r w:rsidRPr="00596107">
              <w:rPr>
                <w:rFonts w:ascii="Cambria" w:hAnsi="Cambria" w:cs="Cambria"/>
              </w:rPr>
              <w:t xml:space="preserve"> [w:] „Kultura i społeczeństwo” 1997, nr 3.</w:t>
            </w:r>
          </w:p>
          <w:p w:rsidR="003D1B93" w:rsidRPr="00596107" w:rsidRDefault="003D1B93" w:rsidP="00E43EB4">
            <w:pPr>
              <w:pStyle w:val="Zwykytekst1"/>
              <w:jc w:val="both"/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Marshall McLuhan, </w:t>
            </w:r>
            <w:r w:rsidRPr="00596107">
              <w:rPr>
                <w:rFonts w:ascii="Cambria" w:hAnsi="Cambria" w:cs="Cambria"/>
                <w:i/>
                <w:iCs/>
              </w:rPr>
              <w:t>Przekaźniki czyli przedłużenie człowieka</w:t>
            </w:r>
            <w:r w:rsidRPr="00596107">
              <w:rPr>
                <w:rFonts w:ascii="Cambria" w:hAnsi="Cambria" w:cs="Cambria"/>
              </w:rPr>
              <w:t xml:space="preserve"> [w:] </w:t>
            </w:r>
            <w:r w:rsidRPr="00596107">
              <w:rPr>
                <w:rFonts w:ascii="Cambria" w:hAnsi="Cambria" w:cs="Cambria"/>
                <w:i/>
                <w:iCs/>
              </w:rPr>
              <w:t>Wybór pism</w:t>
            </w:r>
            <w:r w:rsidRPr="00596107">
              <w:rPr>
                <w:rFonts w:ascii="Cambria" w:hAnsi="Cambria" w:cs="Cambria"/>
              </w:rPr>
              <w:t>, Warszawa 1975.</w:t>
            </w:r>
          </w:p>
        </w:tc>
      </w:tr>
      <w:tr w:rsidR="003D1B93" w:rsidRPr="00596107">
        <w:tc>
          <w:tcPr>
            <w:tcW w:w="1668" w:type="dxa"/>
            <w:gridSpan w:val="3"/>
          </w:tcPr>
          <w:p w:rsidR="003D1B93" w:rsidRDefault="003D1B93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8340" w:type="dxa"/>
            <w:gridSpan w:val="14"/>
          </w:tcPr>
          <w:p w:rsidR="003D1B93" w:rsidRPr="00596107" w:rsidRDefault="003D1B93" w:rsidP="0076767B">
            <w:pPr>
              <w:pStyle w:val="Zwykytekst1"/>
              <w:jc w:val="both"/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Patrycja Bieszk, </w:t>
            </w:r>
            <w:r w:rsidRPr="00596107">
              <w:rPr>
                <w:rFonts w:ascii="Cambria" w:hAnsi="Cambria" w:cs="Cambria"/>
                <w:i/>
                <w:iCs/>
              </w:rPr>
              <w:t>Subwersywny humor w amerykańskim kinie undergroundowym</w:t>
            </w:r>
            <w:r w:rsidRPr="00596107">
              <w:rPr>
                <w:rFonts w:ascii="Cambria" w:hAnsi="Cambria" w:cs="Cambria"/>
              </w:rPr>
              <w:t xml:space="preserve"> [w:] </w:t>
            </w:r>
            <w:r w:rsidRPr="00596107">
              <w:rPr>
                <w:rFonts w:ascii="Cambria" w:hAnsi="Cambria" w:cs="Cambria"/>
                <w:i/>
                <w:iCs/>
              </w:rPr>
              <w:t>Nowe Nawigacje II</w:t>
            </w:r>
            <w:r w:rsidRPr="00596107">
              <w:rPr>
                <w:rFonts w:ascii="Cambria" w:hAnsi="Cambria" w:cs="Cambria"/>
              </w:rPr>
              <w:t>, Kraków 2003, s. 245-275</w:t>
            </w:r>
          </w:p>
          <w:p w:rsidR="003D1B93" w:rsidRPr="00596107" w:rsidRDefault="003D1B93" w:rsidP="0076767B">
            <w:pPr>
              <w:pStyle w:val="Zwykytekst1"/>
              <w:jc w:val="both"/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Neil Postman, </w:t>
            </w:r>
            <w:r w:rsidRPr="00596107">
              <w:rPr>
                <w:rFonts w:ascii="Cambria" w:hAnsi="Cambria" w:cs="Cambria"/>
                <w:i/>
                <w:iCs/>
              </w:rPr>
              <w:t>Zabawić się na śmierć</w:t>
            </w:r>
            <w:r w:rsidRPr="00596107">
              <w:rPr>
                <w:rFonts w:ascii="Cambria" w:hAnsi="Cambria" w:cs="Cambria"/>
              </w:rPr>
              <w:t>, Warszawa 2002</w:t>
            </w:r>
          </w:p>
          <w:p w:rsidR="003D1B93" w:rsidRPr="00596107" w:rsidRDefault="003D1B93" w:rsidP="0076767B">
            <w:pPr>
              <w:jc w:val="both"/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Gordon Mathews, </w:t>
            </w:r>
            <w:r w:rsidRPr="00596107">
              <w:rPr>
                <w:rFonts w:ascii="Cambria" w:hAnsi="Cambria" w:cs="Cambria"/>
                <w:i/>
                <w:iCs/>
              </w:rPr>
              <w:t>Supermarket kultury</w:t>
            </w:r>
            <w:r w:rsidRPr="00596107">
              <w:rPr>
                <w:rFonts w:ascii="Cambria" w:hAnsi="Cambria" w:cs="Cambria"/>
              </w:rPr>
              <w:t>, PIW, 2005</w:t>
            </w:r>
          </w:p>
          <w:p w:rsidR="003D1B93" w:rsidRPr="00596107" w:rsidRDefault="003D1B93" w:rsidP="0076767B">
            <w:pPr>
              <w:pStyle w:val="Zwykytekst1"/>
              <w:jc w:val="both"/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Wiesław Godzic, </w:t>
            </w:r>
            <w:r w:rsidRPr="00596107">
              <w:rPr>
                <w:rFonts w:ascii="Cambria" w:hAnsi="Cambria" w:cs="Cambria"/>
                <w:i/>
                <w:iCs/>
              </w:rPr>
              <w:t>Przypadek MTV: symulowanie, adresowanie i przyjemność</w:t>
            </w:r>
            <w:r w:rsidRPr="00596107">
              <w:rPr>
                <w:rFonts w:ascii="Cambria" w:hAnsi="Cambria" w:cs="Cambria"/>
              </w:rPr>
              <w:t xml:space="preserve"> [w:] </w:t>
            </w:r>
            <w:r w:rsidRPr="00596107">
              <w:rPr>
                <w:rFonts w:ascii="Cambria" w:hAnsi="Cambria" w:cs="Cambria"/>
                <w:i/>
                <w:iCs/>
              </w:rPr>
              <w:t>Prędkość i przyjemność</w:t>
            </w:r>
            <w:r w:rsidRPr="00596107">
              <w:rPr>
                <w:rFonts w:ascii="Cambria" w:hAnsi="Cambria" w:cs="Cambria"/>
              </w:rPr>
              <w:t>, red. A. Gwóźdź, Kielce 1994</w:t>
            </w:r>
          </w:p>
          <w:p w:rsidR="003D1B93" w:rsidRPr="00596107" w:rsidRDefault="003D1B93" w:rsidP="0076767B">
            <w:pPr>
              <w:pStyle w:val="Zwykytekst1"/>
              <w:jc w:val="both"/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Mirosław Przylipiak, </w:t>
            </w:r>
            <w:r w:rsidRPr="00596107">
              <w:rPr>
                <w:rFonts w:ascii="Cambria" w:hAnsi="Cambria" w:cs="Cambria"/>
                <w:i/>
                <w:iCs/>
              </w:rPr>
              <w:t>Tam gdzie rodzą się sny</w:t>
            </w:r>
            <w:r w:rsidRPr="00596107">
              <w:rPr>
                <w:rFonts w:ascii="Cambria" w:hAnsi="Cambria" w:cs="Cambria"/>
              </w:rPr>
              <w:t xml:space="preserve"> [w:] „FILM NA ŚWIECIE” 1990 r. , nr 10 , s. 3-12</w:t>
            </w:r>
          </w:p>
          <w:p w:rsidR="003D1B93" w:rsidRPr="00596107" w:rsidRDefault="003D1B93" w:rsidP="0076767B">
            <w:pPr>
              <w:pStyle w:val="Zwykytekst1"/>
              <w:jc w:val="both"/>
              <w:rPr>
                <w:rFonts w:ascii="Cambria" w:hAnsi="Cambria" w:cs="Cambria"/>
                <w:lang w:val="en-US"/>
              </w:rPr>
            </w:pPr>
            <w:r w:rsidRPr="00596107">
              <w:rPr>
                <w:rFonts w:ascii="Cambria" w:hAnsi="Cambria" w:cs="Cambria"/>
                <w:lang w:val="en-US"/>
              </w:rPr>
              <w:t xml:space="preserve">Noël Carroll, </w:t>
            </w:r>
            <w:r w:rsidRPr="00596107">
              <w:rPr>
                <w:rFonts w:ascii="Cambria" w:hAnsi="Cambria" w:cs="Cambria"/>
                <w:i/>
                <w:iCs/>
                <w:lang w:val="en-US"/>
              </w:rPr>
              <w:t>Filozofia horroru</w:t>
            </w:r>
            <w:r w:rsidRPr="00596107">
              <w:rPr>
                <w:rFonts w:ascii="Cambria" w:hAnsi="Cambria" w:cs="Cambria"/>
                <w:lang w:val="en-US"/>
              </w:rPr>
              <w:t>, Gdańsk 2004, str. 31 – 66, 107 – 163.</w:t>
            </w:r>
          </w:p>
          <w:p w:rsidR="003D1B93" w:rsidRPr="00596107" w:rsidRDefault="003D1B93" w:rsidP="0076767B">
            <w:pPr>
              <w:pStyle w:val="Zwykytekst1"/>
              <w:jc w:val="both"/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Marek Wydmuch, </w:t>
            </w:r>
            <w:r w:rsidRPr="00596107">
              <w:rPr>
                <w:rFonts w:ascii="Cambria" w:hAnsi="Cambria" w:cs="Cambria"/>
                <w:i/>
                <w:iCs/>
              </w:rPr>
              <w:t>Gra ze strachem</w:t>
            </w:r>
            <w:r w:rsidRPr="00596107">
              <w:rPr>
                <w:rFonts w:ascii="Cambria" w:hAnsi="Cambria" w:cs="Cambria"/>
              </w:rPr>
              <w:t xml:space="preserve"> [tekst w depozycie]</w:t>
            </w:r>
          </w:p>
          <w:p w:rsidR="003D1B93" w:rsidRPr="00596107" w:rsidRDefault="003D1B93" w:rsidP="0076767B">
            <w:pPr>
              <w:pStyle w:val="Zwykytekst1"/>
              <w:jc w:val="both"/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Andrzej Pitrus, </w:t>
            </w:r>
            <w:r w:rsidRPr="00596107">
              <w:rPr>
                <w:rFonts w:ascii="Cambria" w:hAnsi="Cambria" w:cs="Cambria"/>
                <w:i/>
                <w:iCs/>
              </w:rPr>
              <w:t>Gore, seks, ciało, psychoanaliza</w:t>
            </w:r>
            <w:r w:rsidRPr="00596107">
              <w:rPr>
                <w:rFonts w:ascii="Cambria" w:hAnsi="Cambria" w:cs="Cambria"/>
              </w:rPr>
              <w:t>, Kraków 1992 , s.17-39</w:t>
            </w:r>
          </w:p>
          <w:p w:rsidR="003D1B93" w:rsidRPr="00596107" w:rsidRDefault="003D1B93" w:rsidP="0076767B">
            <w:pPr>
              <w:pStyle w:val="Zwykytekst1"/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Roger Caillois, </w:t>
            </w:r>
            <w:r w:rsidRPr="00596107">
              <w:rPr>
                <w:rFonts w:ascii="Cambria" w:hAnsi="Cambria" w:cs="Cambria"/>
                <w:i/>
                <w:iCs/>
              </w:rPr>
              <w:t>Od baśni do science-fiction</w:t>
            </w:r>
            <w:r w:rsidRPr="00596107">
              <w:rPr>
                <w:rFonts w:ascii="Cambria" w:hAnsi="Cambria" w:cs="Cambria"/>
              </w:rPr>
              <w:t xml:space="preserve">, w: idem, </w:t>
            </w:r>
            <w:r w:rsidRPr="00596107">
              <w:rPr>
                <w:rFonts w:ascii="Cambria" w:hAnsi="Cambria" w:cs="Cambria"/>
                <w:i/>
                <w:iCs/>
              </w:rPr>
              <w:t>Odpowiedzialność i styl</w:t>
            </w:r>
            <w:r w:rsidRPr="00596107">
              <w:rPr>
                <w:rFonts w:ascii="Cambria" w:hAnsi="Cambria" w:cs="Cambria"/>
              </w:rPr>
              <w:t xml:space="preserve">, PIW 1967. </w:t>
            </w:r>
            <w:r w:rsidRPr="00596107">
              <w:rPr>
                <w:rFonts w:ascii="Cambria" w:hAnsi="Cambria" w:cs="Cambria"/>
                <w:lang w:val="en-US"/>
              </w:rPr>
              <w:t>[lub]</w:t>
            </w:r>
            <w:r w:rsidRPr="00596107">
              <w:rPr>
                <w:rFonts w:ascii="Cambria" w:hAnsi="Cambria" w:cs="Cambria"/>
                <w:lang w:val="en-US"/>
              </w:rPr>
              <w:br/>
              <w:t xml:space="preserve">Roger Caillois, </w:t>
            </w:r>
            <w:r w:rsidRPr="00596107">
              <w:rPr>
                <w:rFonts w:ascii="Cambria" w:hAnsi="Cambria" w:cs="Cambria"/>
                <w:i/>
                <w:iCs/>
                <w:lang w:val="en-US"/>
              </w:rPr>
              <w:t>Granice science fiction</w:t>
            </w:r>
            <w:r w:rsidRPr="00596107">
              <w:rPr>
                <w:rFonts w:ascii="Cambria" w:hAnsi="Cambria" w:cs="Cambria"/>
                <w:lang w:val="en-US"/>
              </w:rPr>
              <w:t xml:space="preserve">, w: </w:t>
            </w:r>
            <w:r w:rsidRPr="00596107">
              <w:rPr>
                <w:rFonts w:ascii="Cambria" w:hAnsi="Cambria" w:cs="Cambria"/>
                <w:i/>
                <w:iCs/>
                <w:lang w:val="en-US"/>
              </w:rPr>
              <w:t>Spór o SF</w:t>
            </w:r>
            <w:r w:rsidRPr="00596107">
              <w:rPr>
                <w:rFonts w:ascii="Cambria" w:hAnsi="Cambria" w:cs="Cambria"/>
                <w:lang w:val="en-US"/>
              </w:rPr>
              <w:t xml:space="preserve">, red. </w:t>
            </w:r>
            <w:r w:rsidRPr="00596107">
              <w:rPr>
                <w:rFonts w:ascii="Cambria" w:hAnsi="Cambria" w:cs="Cambria"/>
              </w:rPr>
              <w:t>R. Handke i inni, Wydawnictwo Poznańskie 1989.</w:t>
            </w:r>
            <w:r w:rsidRPr="00596107">
              <w:rPr>
                <w:rFonts w:ascii="Cambria" w:hAnsi="Cambria" w:cs="Cambria"/>
              </w:rPr>
              <w:br/>
              <w:t xml:space="preserve">Andrzej Kołodyński, </w:t>
            </w:r>
            <w:r w:rsidRPr="00596107">
              <w:rPr>
                <w:rFonts w:ascii="Cambria" w:hAnsi="Cambria" w:cs="Cambria"/>
                <w:i/>
                <w:iCs/>
              </w:rPr>
              <w:t>Dziedzictwo wyobraźni</w:t>
            </w:r>
            <w:r w:rsidRPr="00596107">
              <w:rPr>
                <w:rFonts w:ascii="Cambria" w:hAnsi="Cambria" w:cs="Cambria"/>
              </w:rPr>
              <w:t>, Alfa 1989, str. 206 – 209 i 219 – 222.</w:t>
            </w:r>
          </w:p>
          <w:p w:rsidR="003D1B93" w:rsidRPr="00596107" w:rsidRDefault="003D1B93" w:rsidP="0076767B">
            <w:pPr>
              <w:pStyle w:val="Zwykytekst1"/>
              <w:jc w:val="both"/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  <w:i/>
                <w:iCs/>
              </w:rPr>
              <w:t>Nowe Nawigacje II</w:t>
            </w:r>
            <w:r w:rsidRPr="00596107">
              <w:rPr>
                <w:rFonts w:ascii="Cambria" w:hAnsi="Cambria" w:cs="Cambria"/>
              </w:rPr>
              <w:t>, red. P. Kletowski, P. Matracki, Kraków 2003, część o cyberpunku, s. 115-191.</w:t>
            </w:r>
          </w:p>
          <w:p w:rsidR="003D1B93" w:rsidRPr="00596107" w:rsidRDefault="003D1B93" w:rsidP="0076767B">
            <w:pPr>
              <w:pStyle w:val="Zwykytekst1"/>
              <w:jc w:val="both"/>
              <w:rPr>
                <w:rFonts w:ascii="Cambria" w:hAnsi="Cambria" w:cs="Cambria"/>
              </w:rPr>
            </w:pPr>
            <w:r w:rsidRPr="00596107">
              <w:rPr>
                <w:rFonts w:ascii="Cambria" w:hAnsi="Cambria" w:cs="Cambria"/>
              </w:rPr>
              <w:t xml:space="preserve">Alicja Helman, </w:t>
            </w:r>
            <w:r w:rsidRPr="00596107">
              <w:rPr>
                <w:rFonts w:ascii="Cambria" w:hAnsi="Cambria" w:cs="Cambria"/>
                <w:i/>
                <w:iCs/>
              </w:rPr>
              <w:t>Czarne kino</w:t>
            </w:r>
            <w:r w:rsidRPr="00596107">
              <w:rPr>
                <w:rFonts w:ascii="Cambria" w:hAnsi="Cambria" w:cs="Cambria"/>
              </w:rPr>
              <w:t xml:space="preserve"> [w:] </w:t>
            </w:r>
            <w:r w:rsidRPr="00596107">
              <w:rPr>
                <w:rFonts w:ascii="Cambria" w:hAnsi="Cambria" w:cs="Cambria"/>
                <w:i/>
                <w:iCs/>
              </w:rPr>
              <w:t>Film gangsterski</w:t>
            </w:r>
            <w:r w:rsidRPr="00596107">
              <w:rPr>
                <w:rFonts w:ascii="Cambria" w:hAnsi="Cambria" w:cs="Cambria"/>
              </w:rPr>
              <w:t xml:space="preserve">, Warszawa 1990, s. 66 – 123. </w:t>
            </w:r>
          </w:p>
          <w:p w:rsidR="003D1B93" w:rsidRPr="00596107" w:rsidRDefault="003D1B93" w:rsidP="00E70430">
            <w:pPr>
              <w:pStyle w:val="Zwykytekst1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</w:rPr>
              <w:t xml:space="preserve">Rafał Syska, </w:t>
            </w:r>
            <w:r w:rsidRPr="00596107">
              <w:rPr>
                <w:rFonts w:ascii="Cambria" w:hAnsi="Cambria" w:cs="Cambria"/>
                <w:i/>
                <w:iCs/>
              </w:rPr>
              <w:t>Złota dekada filmu hollywoodzkiego</w:t>
            </w:r>
            <w:r w:rsidRPr="00596107">
              <w:rPr>
                <w:rFonts w:ascii="Cambria" w:hAnsi="Cambria" w:cs="Cambria"/>
              </w:rPr>
              <w:t xml:space="preserve"> [w:] </w:t>
            </w:r>
            <w:r w:rsidRPr="00596107">
              <w:rPr>
                <w:rFonts w:ascii="Cambria" w:hAnsi="Cambria" w:cs="Cambria"/>
                <w:i/>
                <w:iCs/>
              </w:rPr>
              <w:t>Film i przemoc</w:t>
            </w:r>
            <w:r w:rsidRPr="00596107">
              <w:rPr>
                <w:rFonts w:ascii="Cambria" w:hAnsi="Cambria" w:cs="Cambria"/>
              </w:rPr>
              <w:t>, Kraków 2003, s. 51-75.</w:t>
            </w:r>
          </w:p>
        </w:tc>
      </w:tr>
      <w:tr w:rsidR="003D1B93" w:rsidRPr="00596107">
        <w:tblPrEx>
          <w:tblCellMar>
            <w:left w:w="108" w:type="dxa"/>
            <w:right w:w="108" w:type="dxa"/>
          </w:tblCellMar>
        </w:tblPrEx>
        <w:tc>
          <w:tcPr>
            <w:tcW w:w="166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D1B93" w:rsidRPr="00596107" w:rsidRDefault="003D1B93" w:rsidP="00E70430">
            <w:pPr>
              <w:rPr>
                <w:rFonts w:ascii="Cambria" w:hAnsi="Cambria" w:cs="Cambria"/>
                <w:sz w:val="22"/>
                <w:szCs w:val="22"/>
              </w:rPr>
            </w:pPr>
            <w:r w:rsidRPr="00596107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</w:tc>
        <w:tc>
          <w:tcPr>
            <w:tcW w:w="8340" w:type="dxa"/>
            <w:gridSpan w:val="14"/>
            <w:tcBorders>
              <w:top w:val="single" w:sz="12" w:space="0" w:color="auto"/>
              <w:bottom w:val="single" w:sz="12" w:space="0" w:color="auto"/>
            </w:tcBorders>
          </w:tcPr>
          <w:p w:rsidR="003D1B93" w:rsidRDefault="003D1B93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3D1B93" w:rsidRDefault="003D1B93">
            <w:pPr>
              <w:rPr>
                <w:rFonts w:ascii="Cambria" w:hAnsi="Cambria" w:cs="Cambria"/>
                <w:sz w:val="22"/>
                <w:szCs w:val="22"/>
              </w:rPr>
            </w:pPr>
            <w:r w:rsidRPr="00596107">
              <w:rPr>
                <w:rFonts w:ascii="Cambria" w:hAnsi="Cambria" w:cs="Cambria"/>
                <w:sz w:val="22"/>
                <w:szCs w:val="22"/>
              </w:rPr>
              <w:t xml:space="preserve">Wykład konwersatoryjny </w:t>
            </w:r>
          </w:p>
          <w:p w:rsidR="003D1B93" w:rsidRPr="00596107" w:rsidRDefault="003D1B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3D1B93" w:rsidRPr="0059610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596107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D1B93" w:rsidRPr="00596107" w:rsidRDefault="003D1B93" w:rsidP="00D00D11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596107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</w:p>
        </w:tc>
      </w:tr>
      <w:tr w:rsidR="003D1B93" w:rsidRPr="0059610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2" w:space="0" w:color="auto"/>
            </w:tcBorders>
          </w:tcPr>
          <w:p w:rsidR="003D1B93" w:rsidRDefault="003D1B93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3D1B93" w:rsidRPr="00596107" w:rsidRDefault="003D1B93">
            <w:pPr>
              <w:rPr>
                <w:rFonts w:ascii="Cambria" w:hAnsi="Cambria" w:cs="Cambria"/>
                <w:sz w:val="22"/>
                <w:szCs w:val="22"/>
              </w:rPr>
            </w:pPr>
            <w:r w:rsidRPr="00596107">
              <w:rPr>
                <w:rFonts w:ascii="Cambria" w:hAnsi="Cambria" w:cs="Cambria"/>
                <w:sz w:val="22"/>
                <w:szCs w:val="22"/>
              </w:rPr>
              <w:t>Dyskusja, elementy analizy tekstów filmowych.</w:t>
            </w:r>
          </w:p>
        </w:tc>
        <w:tc>
          <w:tcPr>
            <w:tcW w:w="1800" w:type="dxa"/>
            <w:gridSpan w:val="3"/>
            <w:tcBorders>
              <w:bottom w:val="single" w:sz="2" w:space="0" w:color="auto"/>
            </w:tcBorders>
          </w:tcPr>
          <w:p w:rsidR="003D1B93" w:rsidRDefault="003D1B93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3D1B93" w:rsidRPr="00596107" w:rsidRDefault="003D1B93">
            <w:pPr>
              <w:rPr>
                <w:rFonts w:ascii="Cambria" w:hAnsi="Cambria" w:cs="Cambria"/>
                <w:sz w:val="22"/>
                <w:szCs w:val="22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01  02  03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04  05</w:t>
            </w:r>
          </w:p>
        </w:tc>
      </w:tr>
      <w:tr w:rsidR="003D1B93" w:rsidRPr="0059610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3D1B93" w:rsidRPr="00596107" w:rsidRDefault="003D1B93" w:rsidP="00E70430">
            <w:pPr>
              <w:rPr>
                <w:rFonts w:ascii="Cambria" w:hAnsi="Cambria" w:cs="Cambria"/>
                <w:sz w:val="22"/>
                <w:szCs w:val="22"/>
              </w:rPr>
            </w:pPr>
            <w:r w:rsidRPr="00596107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3D1B93" w:rsidRDefault="003D1B93" w:rsidP="00E70430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3D1B93" w:rsidRPr="00596107" w:rsidRDefault="003D1B93" w:rsidP="00E70430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Zaliczenie na podstawie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obecności 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i aktywności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podczas zajęć.</w:t>
            </w:r>
          </w:p>
        </w:tc>
      </w:tr>
      <w:tr w:rsidR="003D1B93" w:rsidRPr="00596107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3D1B93" w:rsidRPr="00596107" w:rsidRDefault="003D1B93" w:rsidP="00E70430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3D1B93" w:rsidRPr="00596107">
        <w:trPr>
          <w:trHeight w:val="263"/>
        </w:trPr>
        <w:tc>
          <w:tcPr>
            <w:tcW w:w="4723" w:type="dxa"/>
            <w:gridSpan w:val="10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7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3D1B93" w:rsidRPr="00596107">
        <w:trPr>
          <w:trHeight w:val="262"/>
        </w:trPr>
        <w:tc>
          <w:tcPr>
            <w:tcW w:w="4723" w:type="dxa"/>
            <w:gridSpan w:val="10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3D1B93" w:rsidRPr="00596107">
        <w:trPr>
          <w:trHeight w:val="262"/>
        </w:trPr>
        <w:tc>
          <w:tcPr>
            <w:tcW w:w="4723" w:type="dxa"/>
            <w:gridSpan w:val="10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3D1B93" w:rsidRPr="00596107" w:rsidRDefault="003D1B93" w:rsidP="00E70430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18</w:t>
            </w:r>
          </w:p>
        </w:tc>
      </w:tr>
      <w:tr w:rsidR="003D1B93" w:rsidRPr="00596107">
        <w:trPr>
          <w:trHeight w:val="262"/>
        </w:trPr>
        <w:tc>
          <w:tcPr>
            <w:tcW w:w="4723" w:type="dxa"/>
            <w:gridSpan w:val="10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596107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D1B93" w:rsidRPr="00596107">
        <w:trPr>
          <w:trHeight w:val="262"/>
        </w:trPr>
        <w:tc>
          <w:tcPr>
            <w:tcW w:w="4723" w:type="dxa"/>
            <w:gridSpan w:val="10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596107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D1B93" w:rsidRPr="00596107">
        <w:trPr>
          <w:trHeight w:val="262"/>
        </w:trPr>
        <w:tc>
          <w:tcPr>
            <w:tcW w:w="4723" w:type="dxa"/>
            <w:gridSpan w:val="10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596107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D1B93" w:rsidRPr="00596107">
        <w:trPr>
          <w:trHeight w:val="262"/>
        </w:trPr>
        <w:tc>
          <w:tcPr>
            <w:tcW w:w="4723" w:type="dxa"/>
            <w:gridSpan w:val="10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D1B93" w:rsidRPr="00596107">
        <w:trPr>
          <w:trHeight w:val="262"/>
        </w:trPr>
        <w:tc>
          <w:tcPr>
            <w:tcW w:w="4723" w:type="dxa"/>
            <w:gridSpan w:val="10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3D1B93" w:rsidRPr="00596107">
        <w:trPr>
          <w:trHeight w:val="262"/>
        </w:trPr>
        <w:tc>
          <w:tcPr>
            <w:tcW w:w="4723" w:type="dxa"/>
            <w:gridSpan w:val="10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D1B93" w:rsidRPr="00596107">
        <w:trPr>
          <w:trHeight w:val="262"/>
        </w:trPr>
        <w:tc>
          <w:tcPr>
            <w:tcW w:w="4723" w:type="dxa"/>
            <w:gridSpan w:val="10"/>
          </w:tcPr>
          <w:p w:rsidR="003D1B93" w:rsidRPr="00596107" w:rsidRDefault="003D1B93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5</w:t>
            </w:r>
            <w:r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</w:tr>
      <w:tr w:rsidR="003D1B93" w:rsidRPr="00596107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3D1B93" w:rsidRPr="00596107" w:rsidRDefault="003D1B9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3D1B93" w:rsidRPr="00596107">
        <w:trPr>
          <w:trHeight w:val="262"/>
        </w:trPr>
        <w:tc>
          <w:tcPr>
            <w:tcW w:w="4723" w:type="dxa"/>
            <w:gridSpan w:val="10"/>
            <w:shd w:val="clear" w:color="auto" w:fill="C0C0C0"/>
          </w:tcPr>
          <w:p w:rsidR="003D1B93" w:rsidRPr="00596107" w:rsidRDefault="003D1B93" w:rsidP="00E70430">
            <w:pPr>
              <w:rPr>
                <w:rFonts w:ascii="Cambria" w:hAnsi="Cambria" w:cs="Cambria"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596107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3D1B93" w:rsidRPr="00596107" w:rsidRDefault="003D1B93" w:rsidP="00E70430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3D1B93" w:rsidRPr="00596107" w:rsidRDefault="003D1B93" w:rsidP="00E70430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96107">
              <w:rPr>
                <w:rFonts w:ascii="Cambria" w:hAnsi="Cambria" w:cs="Cambria"/>
                <w:b/>
                <w:bCs/>
                <w:sz w:val="24"/>
                <w:szCs w:val="24"/>
              </w:rPr>
              <w:t>0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3D1B93" w:rsidRPr="00596107">
        <w:trPr>
          <w:trHeight w:val="262"/>
        </w:trPr>
        <w:tc>
          <w:tcPr>
            <w:tcW w:w="4723" w:type="dxa"/>
            <w:gridSpan w:val="10"/>
            <w:tcBorders>
              <w:bottom w:val="single" w:sz="12" w:space="0" w:color="auto"/>
            </w:tcBorders>
            <w:shd w:val="clear" w:color="auto" w:fill="C0C0C0"/>
          </w:tcPr>
          <w:p w:rsidR="003D1B93" w:rsidRPr="00596107" w:rsidRDefault="003D1B9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96107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7"/>
            <w:tcBorders>
              <w:bottom w:val="single" w:sz="12" w:space="0" w:color="auto"/>
            </w:tcBorders>
            <w:shd w:val="clear" w:color="auto" w:fill="C0C0C0"/>
          </w:tcPr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  <w:p w:rsidR="003D1B93" w:rsidRPr="00596107" w:rsidRDefault="003D1B9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1,3</w:t>
            </w:r>
            <w:r w:rsidRPr="00596107">
              <w:rPr>
                <w:rFonts w:ascii="Cambria" w:hAnsi="Cambria" w:cs="Cambria"/>
                <w:sz w:val="24"/>
                <w:szCs w:val="24"/>
              </w:rPr>
              <w:t xml:space="preserve"> ECTS</w:t>
            </w:r>
          </w:p>
        </w:tc>
      </w:tr>
    </w:tbl>
    <w:p w:rsidR="003D1B93" w:rsidRPr="00596107" w:rsidRDefault="003D1B93" w:rsidP="00E43EB4">
      <w:pPr>
        <w:pStyle w:val="Default"/>
        <w:rPr>
          <w:rFonts w:ascii="Cambria" w:hAnsi="Cambria" w:cs="Cambria"/>
        </w:rPr>
      </w:pPr>
    </w:p>
    <w:sectPr w:rsidR="003D1B93" w:rsidRPr="00596107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B93" w:rsidRDefault="003D1B93">
      <w:r>
        <w:separator/>
      </w:r>
    </w:p>
  </w:endnote>
  <w:endnote w:type="continuationSeparator" w:id="0">
    <w:p w:rsidR="003D1B93" w:rsidRDefault="003D1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B93" w:rsidRDefault="003D1B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1B93" w:rsidRDefault="003D1B9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B93" w:rsidRDefault="003D1B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D1B93" w:rsidRDefault="003D1B9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B93" w:rsidRDefault="003D1B93">
      <w:r>
        <w:separator/>
      </w:r>
    </w:p>
  </w:footnote>
  <w:footnote w:type="continuationSeparator" w:id="0">
    <w:p w:rsidR="003D1B93" w:rsidRDefault="003D1B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54177F"/>
    <w:multiLevelType w:val="hybridMultilevel"/>
    <w:tmpl w:val="0D220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6C512525"/>
    <w:multiLevelType w:val="hybridMultilevel"/>
    <w:tmpl w:val="273ED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2"/>
  </w:num>
  <w:num w:numId="7">
    <w:abstractNumId w:val="15"/>
  </w:num>
  <w:num w:numId="8">
    <w:abstractNumId w:val="1"/>
  </w:num>
  <w:num w:numId="9">
    <w:abstractNumId w:val="14"/>
  </w:num>
  <w:num w:numId="10">
    <w:abstractNumId w:val="17"/>
  </w:num>
  <w:num w:numId="11">
    <w:abstractNumId w:val="13"/>
  </w:num>
  <w:num w:numId="12">
    <w:abstractNumId w:val="6"/>
  </w:num>
  <w:num w:numId="13">
    <w:abstractNumId w:val="12"/>
  </w:num>
  <w:num w:numId="14">
    <w:abstractNumId w:val="3"/>
  </w:num>
  <w:num w:numId="15">
    <w:abstractNumId w:val="16"/>
  </w:num>
  <w:num w:numId="16">
    <w:abstractNumId w:val="7"/>
  </w:num>
  <w:num w:numId="17">
    <w:abstractNumId w:val="19"/>
  </w:num>
  <w:num w:numId="18">
    <w:abstractNumId w:val="18"/>
  </w:num>
  <w:num w:numId="19">
    <w:abstractNumId w:val="0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643A6"/>
    <w:rsid w:val="000A314C"/>
    <w:rsid w:val="000F64E4"/>
    <w:rsid w:val="001773AE"/>
    <w:rsid w:val="00187194"/>
    <w:rsid w:val="001D08B6"/>
    <w:rsid w:val="001E1936"/>
    <w:rsid w:val="001E478F"/>
    <w:rsid w:val="00217CEA"/>
    <w:rsid w:val="00294298"/>
    <w:rsid w:val="00295838"/>
    <w:rsid w:val="002A13F6"/>
    <w:rsid w:val="002F53B1"/>
    <w:rsid w:val="003D1B93"/>
    <w:rsid w:val="00454ABD"/>
    <w:rsid w:val="00475627"/>
    <w:rsid w:val="0049796F"/>
    <w:rsid w:val="004A5133"/>
    <w:rsid w:val="004D3E10"/>
    <w:rsid w:val="00561E05"/>
    <w:rsid w:val="00565150"/>
    <w:rsid w:val="0057176D"/>
    <w:rsid w:val="00592754"/>
    <w:rsid w:val="00596107"/>
    <w:rsid w:val="0064698A"/>
    <w:rsid w:val="006F1161"/>
    <w:rsid w:val="00710108"/>
    <w:rsid w:val="00751457"/>
    <w:rsid w:val="007660F7"/>
    <w:rsid w:val="0076767B"/>
    <w:rsid w:val="007F0A2C"/>
    <w:rsid w:val="0081196D"/>
    <w:rsid w:val="00821661"/>
    <w:rsid w:val="00825990"/>
    <w:rsid w:val="008266B5"/>
    <w:rsid w:val="008827BE"/>
    <w:rsid w:val="00891FD6"/>
    <w:rsid w:val="0091548C"/>
    <w:rsid w:val="00924281"/>
    <w:rsid w:val="0095462A"/>
    <w:rsid w:val="00983669"/>
    <w:rsid w:val="009E0DB6"/>
    <w:rsid w:val="00A252BF"/>
    <w:rsid w:val="00A65B9D"/>
    <w:rsid w:val="00AF7AAB"/>
    <w:rsid w:val="00B06077"/>
    <w:rsid w:val="00B46E0F"/>
    <w:rsid w:val="00BB3E7B"/>
    <w:rsid w:val="00BC35A1"/>
    <w:rsid w:val="00D00D11"/>
    <w:rsid w:val="00D3782F"/>
    <w:rsid w:val="00E43EB4"/>
    <w:rsid w:val="00E70430"/>
    <w:rsid w:val="00EF0FB2"/>
    <w:rsid w:val="00F160ED"/>
    <w:rsid w:val="00F162BC"/>
    <w:rsid w:val="00F34AE5"/>
    <w:rsid w:val="00FA20B9"/>
    <w:rsid w:val="00FD20DA"/>
    <w:rsid w:val="00FE75EA"/>
    <w:rsid w:val="00FF2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669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83669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3669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83669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83669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83669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83669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111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111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111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111B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111B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111B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983669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83669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3111B"/>
    <w:rPr>
      <w:sz w:val="20"/>
      <w:szCs w:val="20"/>
    </w:rPr>
  </w:style>
  <w:style w:type="paragraph" w:styleId="NormalWeb">
    <w:name w:val="Normal (Web)"/>
    <w:basedOn w:val="Normal"/>
    <w:uiPriority w:val="99"/>
    <w:rsid w:val="00983669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983669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3111B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983669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3111B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983669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53111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983669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98366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111B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983669"/>
  </w:style>
  <w:style w:type="paragraph" w:styleId="Footer">
    <w:name w:val="footer"/>
    <w:basedOn w:val="Normal"/>
    <w:link w:val="FooterChar"/>
    <w:uiPriority w:val="99"/>
    <w:rsid w:val="0098366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111B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983669"/>
  </w:style>
  <w:style w:type="paragraph" w:styleId="Subtitle">
    <w:name w:val="Subtitle"/>
    <w:basedOn w:val="Normal"/>
    <w:link w:val="SubtitleChar"/>
    <w:uiPriority w:val="99"/>
    <w:qFormat/>
    <w:rsid w:val="00983669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53111B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983669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983669"/>
  </w:style>
  <w:style w:type="character" w:styleId="Strong">
    <w:name w:val="Strong"/>
    <w:basedOn w:val="DefaultParagraphFont"/>
    <w:uiPriority w:val="99"/>
    <w:qFormat/>
    <w:rsid w:val="00FD20DA"/>
    <w:rPr>
      <w:b/>
      <w:bCs/>
    </w:rPr>
  </w:style>
  <w:style w:type="paragraph" w:customStyle="1" w:styleId="Zwykytekst1">
    <w:name w:val="Zwykły tekst1"/>
    <w:basedOn w:val="Normal"/>
    <w:uiPriority w:val="99"/>
    <w:rsid w:val="00FD20DA"/>
    <w:pPr>
      <w:suppressAutoHyphens/>
    </w:pPr>
    <w:rPr>
      <w:rFonts w:ascii="Courier New" w:hAnsi="Courier New" w:cs="Courier New"/>
      <w:lang w:eastAsia="ar-SA"/>
    </w:rPr>
  </w:style>
  <w:style w:type="character" w:customStyle="1" w:styleId="highlight1">
    <w:name w:val="highlight1"/>
    <w:basedOn w:val="DefaultParagraphFont"/>
    <w:uiPriority w:val="99"/>
    <w:rsid w:val="007676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1009</Words>
  <Characters>6057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2012-09-19T16:47:00Z</cp:lastPrinted>
  <dcterms:created xsi:type="dcterms:W3CDTF">2012-09-19T16:47:00Z</dcterms:created>
  <dcterms:modified xsi:type="dcterms:W3CDTF">2012-09-19T16:47:00Z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776816400</vt:i4>
  </property>
  <property fmtid="{D5CDD505-2E9C-101B-9397-08002B2CF9AE}" pid="3" name="_EmailSubject">
    <vt:lpwstr>PILNE karty przedmiotow do wypelnienia</vt:lpwstr>
  </property>
  <property fmtid="{D5CDD505-2E9C-101B-9397-08002B2CF9AE}" pid="4" name="_AuthorEmail">
    <vt:lpwstr>listopad1960@wp.pl</vt:lpwstr>
  </property>
  <property fmtid="{D5CDD505-2E9C-101B-9397-08002B2CF9AE}" pid="5" name="_AuthorEmailDisplayName">
    <vt:lpwstr>Jerzy Szyłak</vt:lpwstr>
  </property>
  <property fmtid="{D5CDD505-2E9C-101B-9397-08002B2CF9AE}" pid="6" name="_ReviewingToolsShownOnce">
    <vt:lpwstr/>
  </property>
</Properties>
</file>